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150" w:rsidRPr="00FC2681" w:rsidRDefault="00C17150" w:rsidP="00C1715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Лекция 12</w:t>
      </w:r>
      <w:r w:rsidRPr="00FC2681">
        <w:t xml:space="preserve"> </w:t>
      </w:r>
      <w:r w:rsidRPr="00FC2681">
        <w:rPr>
          <w:rStyle w:val="Strong"/>
          <w:rFonts w:ascii="Times New Roman" w:hAnsi="Times New Roman" w:cs="Times New Roman"/>
          <w:sz w:val="24"/>
          <w:szCs w:val="24"/>
        </w:rPr>
        <w:t>Классификация и общая характеристика ЦРРС</w:t>
      </w:r>
    </w:p>
    <w:p w:rsidR="00C17150" w:rsidRPr="00FC2681" w:rsidRDefault="00C17150" w:rsidP="00C17150">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12</w:t>
      </w:r>
      <w:r w:rsidRPr="00FC2681">
        <w:rPr>
          <w:rStyle w:val="Strong"/>
          <w:rFonts w:ascii="Times New Roman" w:hAnsi="Times New Roman" w:cs="Times New Roman"/>
          <w:sz w:val="24"/>
          <w:szCs w:val="24"/>
        </w:rPr>
        <w:t>.1. Классификация и общая характеристика ЦРРС</w:t>
      </w:r>
    </w:p>
    <w:p w:rsidR="00C17150" w:rsidRDefault="00C17150" w:rsidP="00C17150">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12</w:t>
      </w:r>
      <w:r w:rsidRPr="00FC2681">
        <w:rPr>
          <w:rStyle w:val="Strong"/>
          <w:rFonts w:ascii="Times New Roman" w:hAnsi="Times New Roman" w:cs="Times New Roman"/>
          <w:sz w:val="24"/>
          <w:szCs w:val="24"/>
        </w:rPr>
        <w:t>.2. Аппаратура цифровых радиорелейных линий МИК-РЛ11, МИК-РЛ15, МИК-РЛ8</w:t>
      </w:r>
    </w:p>
    <w:p w:rsidR="00C17150" w:rsidRPr="004904D1" w:rsidRDefault="00C17150" w:rsidP="00C17150">
      <w:pPr>
        <w:pStyle w:val="NoSpacing"/>
        <w:rPr>
          <w:rStyle w:val="Strong"/>
          <w:rFonts w:ascii="Times New Roman" w:hAnsi="Times New Roman" w:cs="Times New Roman"/>
          <w:b w:val="0"/>
          <w:sz w:val="24"/>
          <w:szCs w:val="24"/>
        </w:rPr>
      </w:pPr>
    </w:p>
    <w:p w:rsidR="00C17150" w:rsidRPr="004904D1" w:rsidRDefault="00C17150" w:rsidP="00C17150">
      <w:pPr>
        <w:pStyle w:val="NoSpacing"/>
        <w:rPr>
          <w:rStyle w:val="Strong"/>
          <w:rFonts w:ascii="Times New Roman" w:hAnsi="Times New Roman" w:cs="Times New Roman"/>
          <w:sz w:val="24"/>
          <w:szCs w:val="24"/>
        </w:rPr>
      </w:pPr>
      <w:bookmarkStart w:id="0" w:name="8.6.1"/>
      <w:bookmarkEnd w:id="0"/>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w:t>
      </w:r>
      <w:r>
        <w:rPr>
          <w:rStyle w:val="Strong"/>
          <w:rFonts w:ascii="Times New Roman" w:hAnsi="Times New Roman" w:cs="Times New Roman"/>
          <w:sz w:val="24"/>
          <w:szCs w:val="24"/>
        </w:rPr>
        <w:t>1</w:t>
      </w:r>
      <w:r w:rsidRPr="004904D1">
        <w:rPr>
          <w:rStyle w:val="Strong"/>
          <w:rFonts w:ascii="Times New Roman" w:hAnsi="Times New Roman" w:cs="Times New Roman"/>
          <w:sz w:val="24"/>
          <w:szCs w:val="24"/>
        </w:rPr>
        <w:t>. Классификация и общая характеристика ЦРРС</w:t>
      </w:r>
    </w:p>
    <w:p w:rsidR="00C17150" w:rsidRPr="004904D1" w:rsidRDefault="00C17150" w:rsidP="00C1715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Основными признаками, по которым классифицируются цифровые радиорелейные станции (ЦРРС), являются диапазон рабочих частот и пропускная способность.</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Рекомендациями МСЭ, документами Государственной комиссии по радиочастотам (ГКРЧ России) и Государственными стандартами определены полосы радиочастот, в которых могут работать радиорелейные линии связи. Эти полосы расположены вблизи частот 2, 4, 5, 6, 7, 8, 11, 13, 15, 18, 23, 28, 36 и до 50 ГГц. В каждой полосе частот рекомендациями МСЭ-Р жестко регламентирован план частот.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Пропускная способность ЦРРС тесно связана с цифровыми иерархиями, рекомендованными МСЭ-Т. В настоящее время наиболее распространены плезиохронная цифровая иерархия (РDН) и синхронная цифровая иерархия (SDН).</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 пропускной способности радиорелейные линии можно классифицировать следующим образом:</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низкоскоростные – до 8 Мбит/с;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среднекоростные – до 34 Мбит/с;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высокоскоростные – свыше 139 Мбит/с.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Другой признак для классификации – место РРЛ в сетях связи. Различают магистральные, внутризоновые и местные линии, а также технологические линии.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 правило, для магистральных линий используются диапазоны частот 5 и 6 ГГц.</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внутризоновый связи предпочтительны средне- и высокоскоростные РРЛ в диапазонах 8-15 ГГц. Для местной связи применяются все виды радиорелейных станций.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связи с возрастающим объемом передаваемой информации стало невыгодно выпускать РРС для передачи только потоков Е1. По этой причине к низкоскоростным часто относят ЦРРС, рассчитанные на трафик до 16Е1.</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данном разделе рассматриваются принципы построения и особенности эксплуатации низкоскоростных ЦРРС отечественного и зарубежного производства.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Общие характеристики ЦРРС.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 общим характеристикам ЦРРС (кроме диапазона частот и скорости передачи) относится конфигурация системы. Различают режим работы без резервирования (1+0) – одноствольный и режим работы с резервированием стволов (1+1), при котором по двум стволам одновременно передаются одни и те же цифровые сигналы. При этом используются варианты горячего резервирования (not stand-bay), разнесение по частоте (frequency diversity) и разнесения в пространстве (space diversity).Применение конфигурации (1+1) значительно повышает надежность связи. Переключение на резервный ствол происходит либо при внезапных отказах аппаратуры основного ствола, либо при снижении качества передачи цифрового сигнала, например, при глубоких замираниях радиосигнала. Переключение стволов производится “безобрывным” (hitless) способом, предусматривающим предварительное выравнивание времени задержки цифровых сигналов в двух стволах. Это сохраняет структуру цифровых сигналов и не приводит к нарушениям работы оборудования временного группообразования.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Применяется также конфигурация (2+0), когда по стволам могут передаваться либо одинаковые сигналы (функции переключения принимает на себя аппаратура потребителя), либо разные сигналы для повышения пропускной способности радиоствола.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Важной характеристикой радиорелейной станции является способность работать в составе многопролетной линии. При этом необходимо обеспечить низкий уровень фазовых дрожаний (джиттер) сигнала на каждом пролете, возможность ответвления и ввода основных и сервисных каналов, управление и контроль многопролетной линии.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Основные технические характеристики ЦРРС.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Сопряжение радиорелейной станции с потребителем (каналообразующая аппаратура, коммутационные станции, мультиплексоры и т.п.) осуществляется по стандартным цифровым стыкам. Требования к цифровым стыкам определены рекомендациями G-703, G-708, G-823 МСЭ-Т и учитывающим эти рекомендации Государственным стандартом РФ (ГОСТ Р50765-95). Эти требования определяют форму, уровни, нагрузки, стабильность частоты, фазовые дрожания и другие параметры цифровых сигналов, соблюдение которых гарантирует высокое качество передачи.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Эффективность использования рабочей полосы частот.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диапазона определяется следующими условиями: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обеспечение необходимой дальности при заданном качестве связи;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выполнение требований ЭМС в районе строительства конкретной РРЛ.</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Повышение эффективности использования частотного ресурса диапазона стало одним из самых важных требований к аппаратуре РРЛ. Наступает время, когда и в нашей стране бурный рост радиосвязи вплотную сталкивается с острым дефицитом частотного ресурса. На Западе эта проблема давно стала определяющим фактором при разработке и производстве средств связи, в том числе и РРС.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нашей стране насыщенность радиорелейной связи пока что меньше, чем в развитых зарубежных странах, где идет интенсивное освоение всех диапазонов до 40 ГГц. Но и у нас становится тесно в эфире: все труднее получать свободные частоты на новые РРЛ в диапазонах 15 ГГц, а ниже – почти невозможно.</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Эффективность использования частотного ресурса диапазона определяется следующими факторами: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Требуемой шириной полосы приемопередатчика, которая определяется скоростью передачи информации, методом модуляции и уровнем стабилизации частоты 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Параметрами электромагнитной совместимости (чувствительность по побочным каналам приема, подавление внеполосных и побочных излучений).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Возможностями полного использования всего отведенного участка диапазона, которые обеспечиваются использованием в составе станции синтезатора частот.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Практически все производимые ведущими мировыми фирмами РРС имеют в своем составе кварцевый синтезатор частоты.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Параметры станций с точки зрения ЭМС различны и зависят от значения промежуточных частот, полосы фильтров СВЧ и др. Данное обстоятельство необходимо учитывать при выборе станций, исходя из требований российских стандартов в этой области, обычно параметры ЭМС проверяются Сертификационными центрами Госкомсвязи РФ при проведении сертификации оборудования.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Энергетические характеристики ЦРРС.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Энергетические характеристики определяют дальность связи, характеризуют технический уровень аппаратуры и являются основой для проектирования РРЛ. Для обобщенной оценки энергетических параметров оборудования используется коэффициент системы Кс (system qain):</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7B1E7F4" wp14:editId="5F1C7061">
            <wp:extent cx="114300" cy="209550"/>
            <wp:effectExtent l="0" t="0" r="0" b="0"/>
            <wp:docPr id="1" name="Picture 1"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siblec.ru/img/53/Images/Image1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611012ED" wp14:editId="40B2F832">
            <wp:extent cx="114300" cy="209550"/>
            <wp:effectExtent l="0" t="0" r="0" b="0"/>
            <wp:docPr id="2" name="Picture 2"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siblec.ru/img/53/Images/Image1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2CE877CC" wp14:editId="6D489A95">
            <wp:extent cx="1343025" cy="438150"/>
            <wp:effectExtent l="0" t="0" r="9525" b="0"/>
            <wp:docPr id="3" name="Picture 3" descr="https://siblec.ru/img/53/Imag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s://siblec.ru/img/53/Images/Image17.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3025" cy="43815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Рпд – выходная мощность 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Рпор – пороговая мощность сигнала на входе приемника (чувствительность приемника), при которой обеспечивается заданная достоверность передачи информации.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Очевидно, что чем больше Кс, тем больше длина пролета и качество связи при фиксированной антенне.</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Рассмотрим основные факторы, влияющие на коэффициент системы.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передатчика для РРС ограничивается Международными рекомендациями, с одной стороны, и возможностью реализации с другой (габариты, надежность, приемлемый уровень энергопотребления). Реально мощность СВЧ передатчика современных РРС находится в пределах от 1 вт до 30 Мвт.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Пороговый уровень полезного сигнала зависит, в основном, от двух факторов: коэффициента шума приемного устройства по входу приемника и от порогового отношения сигнал/шум на входе демодулятора, при котором достигается заданная достоверность. Коэффициент шума определяется входным МШУ и в современных приемниках составляет величину от 1,5 до 9 дБ в зависимости от диапазона.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общем случае можно записать:</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55F3F4A" wp14:editId="020BC8C9">
            <wp:extent cx="1619250" cy="504825"/>
            <wp:effectExtent l="0" t="0" r="0" b="9525"/>
            <wp:docPr id="4" name="Picture 4" descr="https://siblec.ru/img/53/Imag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https://siblec.ru/img/53/Images/Image18.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9250" cy="504825"/>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w:t>
      </w:r>
      <w:r w:rsidRPr="004904D1">
        <w:rPr>
          <w:rStyle w:val="Strong"/>
          <w:rFonts w:ascii="Times New Roman" w:hAnsi="Times New Roman" w:cs="Times New Roman"/>
          <w:b w:val="0"/>
          <w:noProof/>
          <w:sz w:val="24"/>
          <w:szCs w:val="24"/>
          <w:lang w:eastAsia="ru-RU"/>
        </w:rPr>
        <w:drawing>
          <wp:inline distT="0" distB="0" distL="0" distR="0" wp14:anchorId="192284C3" wp14:editId="5C4BFA18">
            <wp:extent cx="657225" cy="495300"/>
            <wp:effectExtent l="0" t="0" r="9525" b="0"/>
            <wp:docPr id="5" name="Picture 5" descr="https://siblec.ru/img/53/Imag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https://siblec.ru/img/53/Images/Image19.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95300"/>
                    </a:xfrm>
                    <a:prstGeom prst="rect">
                      <a:avLst/>
                    </a:prstGeom>
                    <a:noFill/>
                    <a:ln>
                      <a:noFill/>
                    </a:ln>
                  </pic:spPr>
                </pic:pic>
              </a:graphicData>
            </a:graphic>
          </wp:inline>
        </w:drawing>
      </w:r>
      <w:r w:rsidRPr="004904D1">
        <w:rPr>
          <w:rStyle w:val="Strong"/>
          <w:rFonts w:ascii="Times New Roman" w:hAnsi="Times New Roman" w:cs="Times New Roman"/>
          <w:sz w:val="24"/>
          <w:szCs w:val="24"/>
        </w:rPr>
        <w:t> -отношение сигнал/шум на входе демодулятора. В зависимости от вида модуляции, метода демодуляции это отношение определяет вероятность ошибки на выходе демодулятора.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Рш – мощность тепловых шумов на входе демодулятора;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9C63F9C" wp14:editId="75833C27">
            <wp:extent cx="600075" cy="504825"/>
            <wp:effectExtent l="0" t="0" r="9525" b="9525"/>
            <wp:docPr id="6" name="Picture 6" descr="https://siblec.ru/img/53/Imag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s://siblec.ru/img/53/Images/Image20.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075" cy="504825"/>
                    </a:xfrm>
                    <a:prstGeom prst="rect">
                      <a:avLst/>
                    </a:prstGeom>
                    <a:noFill/>
                    <a:ln>
                      <a:noFill/>
                    </a:ln>
                  </pic:spPr>
                </pic:pic>
              </a:graphicData>
            </a:graphic>
          </wp:inline>
        </w:drawing>
      </w:r>
      <w:r w:rsidRPr="004904D1">
        <w:rPr>
          <w:rStyle w:val="Strong"/>
          <w:rFonts w:ascii="Times New Roman" w:hAnsi="Times New Roman" w:cs="Times New Roman"/>
          <w:sz w:val="24"/>
          <w:szCs w:val="24"/>
        </w:rPr>
        <w:t>– отношение сигнал/шум на входе приемника;</w:t>
      </w:r>
      <w:r w:rsidRPr="004904D1">
        <w:rPr>
          <w:rStyle w:val="Strong"/>
          <w:rFonts w:ascii="Times New Roman" w:hAnsi="Times New Roman" w:cs="Times New Roman"/>
          <w:b w:val="0"/>
          <w:noProof/>
          <w:sz w:val="24"/>
          <w:szCs w:val="24"/>
          <w:lang w:eastAsia="ru-RU"/>
        </w:rPr>
        <w:drawing>
          <wp:inline distT="0" distB="0" distL="0" distR="0" wp14:anchorId="46A7A75E" wp14:editId="28CC9D16">
            <wp:extent cx="114300" cy="209550"/>
            <wp:effectExtent l="0" t="0" r="0" b="0"/>
            <wp:docPr id="7" name="Picture 7"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siblec.ru/img/53/Images/Image1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 – шумовая полоса приемника;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–полоса частот, в которой сосредоточена энергия элемента сигнала длительностью Т (численно равна скорости передачи информации).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 многих случаях П= 1/Т и тогда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CB329F6" wp14:editId="105D9B76">
            <wp:extent cx="1457325" cy="533400"/>
            <wp:effectExtent l="0" t="0" r="9525" b="0"/>
            <wp:docPr id="8" name="Picture 8" descr="https://siblec.ru/img/53/Imag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siblec.ru/img/53/Images/Image2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57325" cy="53340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 этого выражения получаем:</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221B037" wp14:editId="11723095">
            <wp:extent cx="1714500" cy="495300"/>
            <wp:effectExtent l="0" t="0" r="0" b="0"/>
            <wp:docPr id="9" name="Picture 9" descr="https://siblec.ru/img/53/Imag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https://siblec.ru/img/53/Images/Image2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0" cy="49530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sidRPr="004904D1">
        <w:rPr>
          <w:rStyle w:val="Strong"/>
          <w:rFonts w:ascii="Times New Roman" w:hAnsi="Times New Roman" w:cs="Times New Roman"/>
          <w:b w:val="0"/>
          <w:noProof/>
          <w:sz w:val="24"/>
          <w:szCs w:val="24"/>
          <w:lang w:eastAsia="ru-RU"/>
        </w:rPr>
        <w:drawing>
          <wp:inline distT="0" distB="0" distL="0" distR="0" wp14:anchorId="64BE8EAE" wp14:editId="7D749F25">
            <wp:extent cx="1323975" cy="504825"/>
            <wp:effectExtent l="0" t="0" r="9525" b="9525"/>
            <wp:docPr id="10" name="Picture 10" descr="https://siblec.ru/img/53/Imag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s://siblec.ru/img/53/Images/Image2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975" cy="504825"/>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7E0A4AE5" wp14:editId="6BE82827">
            <wp:extent cx="114300" cy="209550"/>
            <wp:effectExtent l="0" t="0" r="0" b="0"/>
            <wp:docPr id="11" name="Picture 11"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s://siblec.ru/img/53/Images/Image1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4594ED6" wp14:editId="31324C86">
            <wp:extent cx="1009650" cy="238125"/>
            <wp:effectExtent l="0" t="0" r="0" b="9525"/>
            <wp:docPr id="12" name="Picture 12" descr="https://siblec.ru/img/53/Imag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s://siblec.ru/img/53/Images/Image24.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9650" cy="238125"/>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n– коэффициент шума приемника;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k – постоянная Больцмана;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 - шумовая полоса приемника;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То = 293оК</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 правило, Рс вх.пор. (или Кс) приводят для ВЕR= 10-3 или ВЕR = 10-6.</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Метод модуляции определяет ширину излучаемого спектра и, следовательно, ширину полосы приемопередатчика и пороговое отношение сигнал/шум в демодуляторе.</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настоящее время в низкоскоростных ЦРРС наибольшее распространение получила модуляция QРSK (квадратурная фазовая манипуляция), которая позволяет вдвое уменьшить ширину спектра модулированного сигнала по сравнению с двухпозиционной PSK. Известны несколько модификаций QРSK: </w:t>
      </w:r>
      <w:r w:rsidRPr="004904D1">
        <w:rPr>
          <w:rStyle w:val="Strong"/>
          <w:rFonts w:ascii="Times New Roman" w:hAnsi="Times New Roman" w:cs="Times New Roman"/>
          <w:sz w:val="24"/>
          <w:szCs w:val="24"/>
        </w:rPr>
        <w:lastRenderedPageBreak/>
        <w:t>офсетная –QРSK, с постоянной огибающей СЕРМ или С-QРSK, 4 QАМ и др., отличающиеся методами реализации.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Некоторые зарубежные фирмы применяют более простой метод 4 FSK, обеспечивающий такую же занимаемую полосу частот, что и QРSK, но за счет снижения энергетики.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многих скоростей передачи применяются наиболее простые методы модуляции – PSK и FSK.</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последнее время для скорости 34 Мбит/с наметилась тенденция замены QРSK на 16 QАМ в диапазонах ниже 13 ГГц с целью уменьшения занимаемой полосы ствола РРЛ до 14 МГц вместо 28 МГц при QРSK.</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Обычно при сравнении РРС по энергетическим параметрам антенны не учитываются, т.к. их коэффициент усиления в основном определяется габаритами и выбирается на этапе проектирования РРЛ.</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Надёжность радиорелейного оборудования.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Надежность обычно характеризуется параметром средней наработки на отказ (МТВF) для конфигурации “1+0”. Все ведущие фирмы гарантируют МТВF не менее 100000 часов (более 10 лет). Как правило, за это время оборудование морально устаревает и поэтому цифра 100000 является оправданной.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Надежность оборудования в основном определяется следующими факторами: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уровнем схемотехнических и конструкторских решений;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качеством и надежностью элементной базы.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принятых схемотехнических решений оценивается по параметру RBER (остаточный коэффициент ошибок), который характеризует ошибки, связанные только с аппаратурой (вне связи с линией). Для качественных современных станций типовое значение этого параметра 10-11.</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телеобслуживания и дополнительные сервисные функции.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Системы теленаблюдения, телеуправления и обслуживания (ТУ-ТС) являются одной из важнейших составных частей ЦРРС, возможности которой существенно влияют на работу пользователя.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настоящее время, несмотря на отсутствие жесткой регламентации в целом на ТУ-ТС, у ведущих фирм производителей радиорелейного оборудования сложились как архитектура, так и более детальные требования к системам ТУ-ТС, обеспечивающим современный сервис и удобство эксплуатации.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части архитектуры система ТУ-ТС подразделяется на три основных подсистемы: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телеобслуживания собственно станции;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обслуживания и управления РРЛ;</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управления телекоммуникационной сетью.</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Разумеется, радиорелейные аппаратные средства должны обеспечивать необходимые интерфейсы. В настоящее время наиболее распространены интерфейсы QD</w:t>
      </w:r>
      <w:r w:rsidRPr="004904D1">
        <w:rPr>
          <w:rStyle w:val="Strong"/>
          <w:rFonts w:ascii="Times New Roman" w:hAnsi="Times New Roman" w:cs="Times New Roman"/>
          <w:b w:val="0"/>
          <w:noProof/>
          <w:sz w:val="24"/>
          <w:szCs w:val="24"/>
          <w:lang w:eastAsia="ru-RU"/>
        </w:rPr>
        <w:drawing>
          <wp:inline distT="0" distB="0" distL="0" distR="0" wp14:anchorId="71AE6FEB" wp14:editId="4C086FE6">
            <wp:extent cx="114300" cy="123825"/>
            <wp:effectExtent l="0" t="0" r="0" b="9525"/>
            <wp:docPr id="13" name="Picture 13" descr="https://siblec.ru/img/53/Imag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https://siblec.ru/img/53/Images/Image25.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4904D1">
        <w:rPr>
          <w:rStyle w:val="Strong"/>
          <w:rFonts w:ascii="Times New Roman" w:hAnsi="Times New Roman" w:cs="Times New Roman"/>
          <w:sz w:val="24"/>
          <w:szCs w:val="24"/>
        </w:rPr>
        <w:t>2 и Q3, которые обеспечивают возможность интеграции РРЛ и отдельных станций в единую телекоммуникационную систему.</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телеобслуживания станции обеспечивает: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Отображение состояния с выработкой сигнала обобщенной аварии станции, а также аварий по отдельным функциональным узлам (приемник, передатчик, модем и т.д.) .</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Контроль основных характеристик:</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мощности 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сигнала на входе приемника;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напряжение вторичного источника питания;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измерение текущей достоверности и основанный на нем контроль качества работы в соответствии с рекомендациями МСЭ-Т 6.826 и М.2100 в следующем объеме:</w:t>
      </w:r>
      <w:r w:rsidRPr="004904D1">
        <w:rPr>
          <w:rStyle w:val="Strong"/>
          <w:rFonts w:ascii="Times New Roman" w:hAnsi="Times New Roman" w:cs="Times New Roman"/>
          <w:sz w:val="24"/>
          <w:szCs w:val="24"/>
        </w:rPr>
        <w:br/>
        <w:t>ТМР – период времени наблюдения (например, 15 мин., 24 час.);</w:t>
      </w:r>
      <w:r w:rsidRPr="004904D1">
        <w:rPr>
          <w:rStyle w:val="Strong"/>
          <w:rFonts w:ascii="Times New Roman" w:hAnsi="Times New Roman" w:cs="Times New Roman"/>
          <w:sz w:val="24"/>
          <w:szCs w:val="24"/>
        </w:rPr>
        <w:br/>
        <w:t>ES - количество секунд с ошибками;</w:t>
      </w:r>
      <w:r w:rsidRPr="004904D1">
        <w:rPr>
          <w:rStyle w:val="Strong"/>
          <w:rFonts w:ascii="Times New Roman" w:hAnsi="Times New Roman" w:cs="Times New Roman"/>
          <w:sz w:val="24"/>
          <w:szCs w:val="24"/>
        </w:rPr>
        <w:br/>
      </w:r>
      <w:r w:rsidRPr="004904D1">
        <w:rPr>
          <w:rStyle w:val="Strong"/>
          <w:rFonts w:ascii="Times New Roman" w:hAnsi="Times New Roman" w:cs="Times New Roman"/>
          <w:sz w:val="24"/>
          <w:szCs w:val="24"/>
        </w:rPr>
        <w:lastRenderedPageBreak/>
        <w:t>SES - количество пораженных секунд;</w:t>
      </w:r>
      <w:r w:rsidRPr="004904D1">
        <w:rPr>
          <w:rStyle w:val="Strong"/>
          <w:rFonts w:ascii="Times New Roman" w:hAnsi="Times New Roman" w:cs="Times New Roman"/>
          <w:sz w:val="24"/>
          <w:szCs w:val="24"/>
        </w:rPr>
        <w:br/>
        <w:t>UAT- продолжительность времени неготовности;</w:t>
      </w:r>
      <w:r w:rsidRPr="004904D1">
        <w:rPr>
          <w:rStyle w:val="Strong"/>
          <w:rFonts w:ascii="Times New Roman" w:hAnsi="Times New Roman" w:cs="Times New Roman"/>
          <w:sz w:val="24"/>
          <w:szCs w:val="24"/>
        </w:rPr>
        <w:br/>
        <w:t>EFS - количество секунд без ошибок;</w:t>
      </w:r>
      <w:r w:rsidRPr="004904D1">
        <w:rPr>
          <w:rStyle w:val="Strong"/>
          <w:rFonts w:ascii="Times New Roman" w:hAnsi="Times New Roman" w:cs="Times New Roman"/>
          <w:sz w:val="24"/>
          <w:szCs w:val="24"/>
        </w:rPr>
        <w:br/>
        <w:t>ESR – относительная величина секунд с ошибками;</w:t>
      </w:r>
      <w:r w:rsidRPr="004904D1">
        <w:rPr>
          <w:rStyle w:val="Strong"/>
          <w:rFonts w:ascii="Times New Roman" w:hAnsi="Times New Roman" w:cs="Times New Roman"/>
          <w:sz w:val="24"/>
          <w:szCs w:val="24"/>
        </w:rPr>
        <w:br/>
        <w:t>SESR – относительная величина пораженных секунд.</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обслуживания и управления РРЛ осуществляет следующие функции: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Установка параметров блоков и систем.</w:t>
      </w:r>
      <w:r w:rsidRPr="004904D1">
        <w:rPr>
          <w:rStyle w:val="Strong"/>
          <w:rFonts w:ascii="Times New Roman" w:hAnsi="Times New Roman" w:cs="Times New Roman"/>
          <w:sz w:val="24"/>
          <w:szCs w:val="24"/>
        </w:rPr>
        <w:br/>
        <w:t>Для современных станций это:</w:t>
      </w:r>
    </w:p>
    <w:p w:rsidR="00C17150" w:rsidRPr="004904D1" w:rsidRDefault="00C17150" w:rsidP="00C17150">
      <w:pPr>
        <w:pStyle w:val="NoSpacing"/>
        <w:rPr>
          <w:rStyle w:val="Strong"/>
          <w:rFonts w:ascii="Times New Roman" w:hAnsi="Times New Roman" w:cs="Times New Roman"/>
          <w:b w:val="0"/>
          <w:sz w:val="24"/>
          <w:szCs w:val="24"/>
        </w:rPr>
      </w:pP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пропускная способность;</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рабочие частоты приемника и 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маршрутизация трафика.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Контроль, отображение и управление конфигурацией блоков и системы:</w:t>
      </w:r>
    </w:p>
    <w:p w:rsidR="00C17150" w:rsidRPr="004904D1" w:rsidRDefault="00C17150" w:rsidP="00C17150">
      <w:pPr>
        <w:pStyle w:val="NoSpacing"/>
        <w:rPr>
          <w:rStyle w:val="Strong"/>
          <w:rFonts w:ascii="Times New Roman" w:hAnsi="Times New Roman" w:cs="Times New Roman"/>
          <w:b w:val="0"/>
          <w:sz w:val="24"/>
          <w:szCs w:val="24"/>
        </w:rPr>
      </w:pP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автоматический безобрывный переход на резерв вследствие аварии или замираний сигнала с приоритетами по степеням Кош= 10-3, 10-6, 10-10;</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ручной безобрывный переход с рабочего ствола на резервный;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приоритетная очередность перехода стволов на резерв;</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запрет автоматического перехода на резервный ствол в целях технического обслуживания и испытаний;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отображение конфигурации системы, наличия блоков.</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Наблюдение за рабочими характеристиками линии:</w:t>
      </w:r>
    </w:p>
    <w:p w:rsidR="00C17150" w:rsidRPr="004904D1" w:rsidRDefault="00C17150" w:rsidP="00C17150">
      <w:pPr>
        <w:pStyle w:val="NoSpacing"/>
        <w:rPr>
          <w:rStyle w:val="Strong"/>
          <w:rFonts w:ascii="Times New Roman" w:hAnsi="Times New Roman" w:cs="Times New Roman"/>
          <w:b w:val="0"/>
          <w:sz w:val="24"/>
          <w:szCs w:val="24"/>
        </w:rPr>
      </w:pP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сбор и передача сигналов аварии;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ведение журнала работы с фиксацией времени включения (выключения, наличия сбоев, периодов снижения достоверности и т.д.).</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Поиск и управление неисправностями:</w:t>
      </w:r>
    </w:p>
    <w:p w:rsidR="00C17150" w:rsidRPr="004904D1" w:rsidRDefault="00C17150" w:rsidP="00C17150">
      <w:pPr>
        <w:pStyle w:val="NoSpacing"/>
        <w:rPr>
          <w:rStyle w:val="Strong"/>
          <w:rFonts w:ascii="Times New Roman" w:hAnsi="Times New Roman" w:cs="Times New Roman"/>
          <w:b w:val="0"/>
          <w:sz w:val="24"/>
          <w:szCs w:val="24"/>
        </w:rPr>
      </w:pP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анализ сигналов аварии;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организация шлейфов по информационному потоку и по СВЧ-сигналу как на своей станции, так и на любой станции сети;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кольцевые проверки.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Контроль за телеобслуживанием осуществляется через монитор системы управления с возможностью сохранения получаемой информации на стандартных носителях (с привязкой по времени) и ее распечатки на принтере через стандартизированный параллельный интерфейс.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Дополнительные, сервисные каналы связи: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Собственный канал связи станции между внешним (радиомодуль) и внутренним (базовый блок) блоками РРС, используемый для передачи сигналов состояния, команд управления и квитанций об их исполнении.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Канал речевой служебной связи вдоль радиолинии (обычно один или два канала по 64 кбит/с).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Служебные каналы пользователей – один или несколько каналов по 64 кбит/с, используемые пользователем в своих целях, например, технологическая связь и управление системами пользователя.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Канал системы управления радиолинией.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Один или несколько низкоскоростных каналов для отображения состояния системы пользователя, не связанных с РРЛ.</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Для отображения состояния и управления РРС и линией до недавнего времени использовались в основном дисплеи в базовом блоке станции, светодиодная индикация и ручное управление с передней панели базового блока или выносного </w:t>
      </w:r>
      <w:r w:rsidRPr="004904D1">
        <w:rPr>
          <w:rStyle w:val="Strong"/>
          <w:rFonts w:ascii="Times New Roman" w:hAnsi="Times New Roman" w:cs="Times New Roman"/>
          <w:sz w:val="24"/>
          <w:szCs w:val="24"/>
        </w:rPr>
        <w:lastRenderedPageBreak/>
        <w:t>пульта управления. В настоящее время в основном используются компьютеры, на базе которых создаются сетевые и локальные рабочие терминалы.</w:t>
      </w:r>
    </w:p>
    <w:p w:rsidR="00C17150" w:rsidRPr="00FC2681" w:rsidRDefault="00C17150" w:rsidP="00C1715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Система электропитания.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Энергопотребление – обобщенный показатель, отражающий общий технический уровень аппаратуры, включая качество элементной базы, оптимальность принятых схемотехнических решений. Энергопотребление влияет также и на аппаратурную надежность, которая обычно повышается при уменьшении потребления, а следовательно, тепловыделения.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Обычно энергопотребление приводится в расчете на один ствол в конфигурации “1+0”. Для современной аппаратуры эта величина лежит в пределах 35-50 вт.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питании от сети постоянного тока важной характеристикой является наличие гальванической развязки, что позволяет снизить влияние помех по сети, а также использовать сеть любой полярности. Другой важный параметр – допустимый диапазон питающих напряжений без каких-либо переключений. Для современных станций эта величина составляет от 20 до 70 В.</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Конструкция. Удобство обслуживания, организация гарантийного обслуживания.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настоящее время аппаратуру ЦРРС производят в виде двух составных частей: аппаратуры наружного размещения, включающей в себя выносные приемо-передающие модули (ODU) и антенну, и аппаратуры внутреннего размещения (IDU), исполняемой обычно в виде модульной конструкции, которую можно установить на столе, закрепить на стене и т.д.</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Соединение между ODU и IDU осуществляют коаксиальными кабелями длиной до 300м (реже 600м), по которым также передается напряжение дистанционного питания ODU.</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большинстве новых зарубежных ЦРРС при соединении ODU и IDU используется всего один кабель, по которому сигналы “вверх” и “вниз” передаются на разных поднесущих. В отечественных ЦРРС применяют два кабеля.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Перенос приемо-передатчиков цифровых РРС с “земли” на антенну первоначально имел целью избавиться от дорогих и громоздких волноводных трактов. Однако конструктивное деление РРС на ODU и IDU привело к трансформации функциональной структуры станций, к изменению электрических схем ODU и IDU.</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настоящее время в ODU размещают все элементы, зависящие от диапазона и рабочих частот, но инвариантные к изменению скорости передачи от Е1 до Е3 (Ericsson) или от Е1 до Е2 (Pasolink), а IDU содержит лишь элементы, определяющие трафик и стыки. Поэтому блок IDU одинаково подходит для всех диапазонов от 7 до 38 ГГц.</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Удобство обслуживающие ЦРРС во многом определяется конструкцией антенного комплекса (ODU, антенна, опорно-поворотное устройство), способами соединения ODU с антенной и крепления антенны к мачте, а также методом юстировки антенны.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части удобства обслуживания отечественные ЦРРС имеют и “плюсы и “минусы””. Так, их недостатком является более сложная и металллоемкая конструкция соединения ODU c антенной, особенно для больших антенн (диаметром более 1,2 м). Однако для суровых климатических районов России наши ЦРРС предусматривают дополнительную защиту от снега и льда в виде контейнера, внутри которого размещают ODU.</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Исправная ЦРРС не требует обслуживания, кроме профилактических мероприятий. В случае выхода из строя ODU, его заменяют на исправный, а восстановление производят на заводе-изготовителе, либо в специализированных сервисных центрах. При выходе из строя наземного блока ремонт производится заменой ячеек из ЗИП.</w:t>
      </w:r>
    </w:p>
    <w:p w:rsidR="00C17150"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Следует отметить, что гарантийное и послегарантийное обслуживание отечественных ЦРРС проще и дешевле зарубежных станций.</w:t>
      </w:r>
    </w:p>
    <w:p w:rsidR="00C17150" w:rsidRPr="004904D1" w:rsidRDefault="00C17150" w:rsidP="00C17150">
      <w:pPr>
        <w:pStyle w:val="NoSpacing"/>
        <w:rPr>
          <w:rStyle w:val="Strong"/>
          <w:rFonts w:ascii="Times New Roman" w:hAnsi="Times New Roman" w:cs="Times New Roman"/>
          <w:b w:val="0"/>
          <w:sz w:val="24"/>
          <w:szCs w:val="24"/>
        </w:rPr>
      </w:pPr>
    </w:p>
    <w:p w:rsidR="00C17150" w:rsidRPr="00DA29A9" w:rsidRDefault="00C17150" w:rsidP="00C17150">
      <w:pPr>
        <w:pStyle w:val="NoSpacing"/>
        <w:rPr>
          <w:rStyle w:val="Strong"/>
          <w:rFonts w:ascii="Times New Roman" w:hAnsi="Times New Roman" w:cs="Times New Roman"/>
          <w:sz w:val="24"/>
          <w:szCs w:val="24"/>
        </w:rPr>
      </w:pPr>
      <w:bookmarkStart w:id="1" w:name="8.6.2"/>
      <w:bookmarkEnd w:id="1"/>
      <w:r w:rsidRPr="00DA29A9">
        <w:rPr>
          <w:rStyle w:val="Strong"/>
          <w:rFonts w:ascii="Times New Roman" w:hAnsi="Times New Roman" w:cs="Times New Roman"/>
          <w:sz w:val="24"/>
          <w:szCs w:val="24"/>
        </w:rPr>
        <w:t>12.2. Аппаратура цифровых радиорелейных линий МИК-РЛ11, МИК-РЛ15, МИК-РЛ8</w:t>
      </w:r>
    </w:p>
    <w:p w:rsidR="00C17150" w:rsidRPr="004904D1" w:rsidRDefault="00C17150" w:rsidP="00C1715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Радиорелейная аппаратура МИК-РЛ11 и МИК-РЛ15 и МИК-РЛ8 предназначена для организации зоновых, местных и технологических систем связи и передачи данных в диапазонах 7,9 – 8,4, 10,7 – 11,7 и 14,4 – 15,35. Аппаратура обладает высокой гибкостью и обеспечивает построение как однопролетных, так и многопролетных РРЛ с произвольной топологией сети, со скоростями передачи цифровых потоков 2,048, 8,448 и 34,368 Мбит/с. Разработанная аппаратура входит в унифицированную цифровую радиорелейную систему нового поколения диапазона 8…40 ГГц.</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Характеристика аппаратуры.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Аппаратура характеризуется: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возможность построения сети связи и передачи данных произвольной топологии;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дополнительными сервисными каналами с различными стыками: RS-232 (V.24/v.28), RS-422 (V.11), RS-458, V-35, ОЦК 64 Кбит (G.703), 4-х проводное канальное окончание с сигнализацией E&amp;M;</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возможностью построения сети передачи данных на основе цифрового многопользовательского канала последовательного доступа с подключением сетевого оборудования через стык RS232;</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наличием аппаратуры конференц-связи;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низкоскоростными цифровыми каналами для подключения систем внешней сигнализации;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дополнительным каналом служебной связи;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развитой системой телесигнализации и телеуправления, позволяющей организовывать обслуживание сети произвольной топологии из одного пункта;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возможностью установки частоты приемопередатчика программным путем с помощью синтезатора частоты;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одновременной работой в двух стволах на одну антенну с минимальным частотным разносом;</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повышенным энергетическим потенциалом линий;</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малой потребляемой мощностью и низкими массогабаритными характеристиками выносного оборудования;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простотой монтажа и обслуживания.</w:t>
      </w:r>
    </w:p>
    <w:p w:rsidR="00C17150" w:rsidRPr="00DA29A9" w:rsidRDefault="00C17150" w:rsidP="00C1715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Состав оборудования.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Состав радиорелейного оборудования МИК-РЛ может варьироваться в широких пределах в зависимости от ее назначения и конфигурации системы. Однако в любом случае оно подразделяется на выносное (ODU) и внутреннее оборудование (IDU). Для многопролетных систем дополнительно необходима система телеуправления и телесигнализации (ТУ 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Выносное оборудование.</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состав выносного оборудования входит: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антенное устройство (АУ);</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одно или два приемопередающих устройства (ППУ);</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соединительные кабели.</w:t>
      </w:r>
    </w:p>
    <w:p w:rsidR="00C17150" w:rsidRPr="00DA29A9" w:rsidRDefault="00C17150" w:rsidP="00C1715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Антенные устройства.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Антенные устройства позволяют осуществлять прием/передачу одновременно в двух ортогональных линейных поляризациях. Высокочастотным интерфейсом АУ является коаксиальный разъем с сечением 7/3,05 мм. В диапазонах 7,9…8,4, 10,7…11,7 и 14,4…15,35 ГГц используются двухзеркальные антенные системы с диаметром зеркала 1,2 и 0,6 м, что позволяет осуществить заднее размещение приемопередающего устройства. Антенна с диаметром зеркала 1,2 м выполнена по </w:t>
      </w:r>
      <w:r w:rsidRPr="004904D1">
        <w:rPr>
          <w:rStyle w:val="Strong"/>
          <w:rFonts w:ascii="Times New Roman" w:hAnsi="Times New Roman" w:cs="Times New Roman"/>
          <w:sz w:val="24"/>
          <w:szCs w:val="24"/>
        </w:rPr>
        <w:lastRenderedPageBreak/>
        <w:t>схеме Кассегерена, а антенна с диаметром зеркала 0,6м представляет собой антенну со смещенной фокальной плоскостью (типа АДЭ). Простой и надежный механизм позволяет производить юстировку антенного устройства по углу места и азимуту. Для антенны с диаметром зеркала 0,6 м имеется вариант постановки с радиопрозрачным обтекателем.</w:t>
      </w:r>
    </w:p>
    <w:p w:rsidR="00C17150" w:rsidRPr="00DA29A9" w:rsidRDefault="00C17150" w:rsidP="00C1715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Приемопередающие устройства.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Приемопередающие устройства во всех диапазонах частот имеют одинаковую структуру и выполняют функции усиления, преобразования, модуляции и демодуляции сигнала. Кроме того, в ППУ производится скремблирование и регенерация цифрового сигнала, компенсация потерь в кабеле, шлейфование по высокой частоте и цифровому сигналу.</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Микропроцессорная система телеметрии и управления ППУ обеспечивает диагностику всех основных элементов ППУ, управление шлейфами и установкой частот гетеродинов приемника и передатчика (для ППУ с синтезатором частоты). Высокочастотным интерфейсом ППУ является коаксиальный разъем сечения 7/3,05 мм (тип N). Входящим и исходящим сигналами ППУ являются групповые потоки в коде HDB3. ППУ выполняются в нескольких модификациях: по частотному диапазону, информационным скоростям передачи сигнала, выходной мощности передатчика и сервисным функциям. Низшей моделью является ППУ с фиксированной установкой частоты гетеродинов, отсутствием дополнительных сервисных каналов.</w:t>
      </w:r>
    </w:p>
    <w:p w:rsidR="00C17150" w:rsidRPr="00DA29A9" w:rsidRDefault="00C17150" w:rsidP="00C1715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Соединительные кабели.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ППУ соединен с внутренним оборудованием одним соединительным кабелем, представляющим две скрученные пары с волновым сопротивлением 120 Ом. Кроме основных цифровых потоков по кабелю подается питание ППУ и сигналы телеметрии. При информационных потоках Е1 и Е2 используется кабель типа КСПП при максимальной длине 300 м. При потоке Е3 применена скрученная пара, относящаяся к 5-й категории по условиям эксплуатации (UTP5), максимальная длина кабеля – 100 м.</w:t>
      </w:r>
    </w:p>
    <w:p w:rsidR="00C17150" w:rsidRPr="00DA29A9" w:rsidRDefault="00C17150" w:rsidP="00C1715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Внутреннее оборудование.</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Состав внутреннего оборудования определяется конфигурацией системы и зависит в первую очередь от наличия дополнительных сервисных каналов.</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случае отсутствия дополнительных сервисных каналов внутреннее оборудование состоит из блока управления контроля и сигнализации БУКС-03 и, при необходимости, мультиплексора МЦП-12 или МЦП-13. Аппаратура позволяет строить как однопролетные, так и многопролетные радиорелейные линии, однако организация системы телесигнализации и телеуправления станции, канала служебной связи осуществляется с помощью аппаратуры группообразования (ИКМ). Кроме того, при использовании мультиплексоров МЦП-12, МЦП-13 предоставляется возможность организации сквозного канала со стыком RS-232.</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выборе варианта оборудования с дополнительными сервисными каналами, кроме основного потока с пропускной способностью 8,448 или34,368 Мбит/с передаются восемь цифровых каналов с пропускной способностью 64 Кбит/с. В этом случае в базовый комплект внутреннего оборудования входит: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БУКС-04;</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мультиплексор и демультиплексор разделения/объединения, вторичных (Е2) или третичных (Е3) цифровых потоков и дополнительных сервисных каналов;</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блок управления, контроля и сигнализации (БУКС);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телеуправления и телесигнализации (ТУТС);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преобразователь питания (внутреннего оборудования).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Кроме того, в состав внутреннего оборудования могут входить мультиплексоры вторичных (Е2) или третичных (Е3) цифровых потоков PDH и дополнительные каналы с различными стыками.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этом два из восьми дополнительных сервисных каналов используются для передачи служебной информации: цифровой канал служебной связи, сигналов телесигнализации и телеуправления, специальных сигналов разделения потоков, низкоскоростные дискретные каналы. Остальные каналы представляют собой транспортную среду, на базе которой возможно как построение корпоративных сетей связи, так и организация передачи данных с различными интерфейсами. Конфигурация использования дополнительных каналов произвольная и может быть изменена в процессе эксплуатации. Возможность поэтапного наращивания обеспечивает гибкость в выборе оборудования и снижение начальных затрат.</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Внутреннее оборудование исполнено по стандарту Евромеханика 19² в виде модульных 1U кассеты К-1, куда устанавливаются все блоки.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Технические характеристики</w:t>
      </w:r>
    </w:p>
    <w:tbl>
      <w:tblPr>
        <w:tblW w:w="5727" w:type="dxa"/>
        <w:jc w:val="center"/>
        <w:tblCellMar>
          <w:top w:w="75" w:type="dxa"/>
          <w:left w:w="75" w:type="dxa"/>
          <w:bottom w:w="75" w:type="dxa"/>
          <w:right w:w="75" w:type="dxa"/>
        </w:tblCellMar>
        <w:tblLook w:val="04A0" w:firstRow="1" w:lastRow="0" w:firstColumn="1" w:lastColumn="0" w:noHBand="0" w:noVBand="1"/>
      </w:tblPr>
      <w:tblGrid>
        <w:gridCol w:w="2881"/>
        <w:gridCol w:w="830"/>
        <w:gridCol w:w="1074"/>
        <w:gridCol w:w="942"/>
      </w:tblGrid>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Характеристика</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МИК-РЛ8*)</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МИК-РЛ11М</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МИК-РЛ15М</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Рабочий диапазон частот</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7,9 8,4 ГГц</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ГОСТ Р 50765-95</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10,7 11,7ГГц</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МККР Рек.387-6</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14,4 15,35 ГГц</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МККР Рек. 636-2</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Дуплексный разнос</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266 МГц</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520 ГГц</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420 или 490 МГц</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Шаг сетки частот</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3,5 МГц</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20 МГц</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7 МГц</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Скорость передачи</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2,048, 4´ 2,048, 8,448, 16´ 2,048*), 34,368*) Мбит/с</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Максимальная протяженность интервала связи/запас на замирание</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50 км / 40 дБ</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35 км / 45 дБ</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25 км / 40 дБ</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Конфигурации системы</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однопролетные, 1+0, 1+1, 2+0, сеть произвольной топологии до 64 станций</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Вид модуляции</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ЧМН с непрерывной фазой</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Тип модулятора</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Автокорреляционный</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входного сигнала (при скорости передачи 8,448 Мбит/с), соответствующий коэффициенту ошибок:</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BER=10-3</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BER=10-6</w:t>
            </w:r>
          </w:p>
        </w:tc>
        <w:tc>
          <w:tcPr>
            <w:tcW w:w="750" w:type="pct"/>
            <w:shd w:val="clear" w:color="auto" w:fill="F2EFE9"/>
            <w:vAlign w:val="bottom"/>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-118 дБВт</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-115 дБВт</w:t>
            </w:r>
          </w:p>
        </w:tc>
        <w:tc>
          <w:tcPr>
            <w:tcW w:w="1650" w:type="pct"/>
            <w:gridSpan w:val="2"/>
            <w:shd w:val="clear" w:color="auto" w:fill="F2EFE9"/>
            <w:vAlign w:val="bottom"/>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-116дБВт</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-113дБВт</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Дополнительные сервисные цифровые каналы при основном цифровом потоке Е2, Е3**)</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Шесть каналов по 64 Кбит/с.</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Параметры стыка дополнительных цифровых каналов:</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асинхронные: RS-232 (V.24/V.28), RS-422 (V.11), RS-485;</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синхронные: V-35? ОЦК 64 Кбит (G.703);</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- 4-х проводное канальное окончание с сигнализацией E&amp;M</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многопользовательский канал последовательного доступа со стыком RS-232;</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конференц-связь.</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Служебная связь **)</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Дуплексный цифровой канал</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Технологический канал связи</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Цифровой канал с перерывом связи</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Контроль качества передаваемой информации **)</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Непрерывный</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Система телесигнализации и телеуправления (ТУ ТС) **)</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непрерывное дистанционное измерение параметров станций сети, сбор накопление и обработка информации;</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Выработка сигналов аварии;</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Дистанционное управление сетью станций.</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Количество дополнительных низкоскоростных цифровых каналов внешней сигнализации **)</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16</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Параметры стыка </w:t>
            </w:r>
            <w:r w:rsidRPr="004904D1">
              <w:rPr>
                <w:rStyle w:val="Strong"/>
                <w:rFonts w:ascii="Times New Roman" w:hAnsi="Times New Roman" w:cs="Times New Roman"/>
                <w:sz w:val="24"/>
                <w:szCs w:val="24"/>
              </w:rPr>
              <w:lastRenderedPageBreak/>
              <w:t>основного цифрового потока на входе и выходе РРС</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 xml:space="preserve">Рекомендации МККТТ </w:t>
            </w:r>
            <w:r w:rsidRPr="004904D1">
              <w:rPr>
                <w:rStyle w:val="Strong"/>
                <w:rFonts w:ascii="Times New Roman" w:hAnsi="Times New Roman" w:cs="Times New Roman"/>
                <w:sz w:val="24"/>
                <w:szCs w:val="24"/>
              </w:rPr>
              <w:lastRenderedPageBreak/>
              <w:t>G.703</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Мощность СВЧ сигнала на выходе приемопередатчика</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0,5, 1,0 Вт</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&gt;100/400 мВт</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&lt;100 мВт</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Ширина спектра излучаемого сигнала по уровню 3/30 дБ при скорости передачи 8,448 Мбит/с</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6 / 18 МГц</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Стабильность частоты в диапазоне температур</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-50 +50 ° С</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50× 10-6</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Коэффициент шума приемника не более</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2,5 дБ</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 дБ</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3,5 дБ</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Динамический диапазон приемника</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&gt;60 дБ</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Электропитание оборудования</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39…72 В</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потребления ППУ (конфигурация 1+0)</w:t>
            </w:r>
          </w:p>
        </w:tc>
        <w:tc>
          <w:tcPr>
            <w:tcW w:w="7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20 Вт</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 / 15 Вт</w:t>
            </w:r>
          </w:p>
        </w:tc>
        <w:tc>
          <w:tcPr>
            <w:tcW w:w="85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 Вт</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Максимальная длина кабеля между выносным и внутренним оборудованием</w:t>
            </w:r>
          </w:p>
        </w:tc>
        <w:tc>
          <w:tcPr>
            <w:tcW w:w="2400" w:type="pct"/>
            <w:gridSpan w:val="3"/>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300 м при скорости 2,048 и 8,448 Мбит/с</w:t>
            </w:r>
            <w:r w:rsidRPr="004904D1">
              <w:rPr>
                <w:rStyle w:val="Strong"/>
                <w:rFonts w:ascii="Times New Roman" w:hAnsi="Times New Roman" w:cs="Times New Roman"/>
                <w:sz w:val="24"/>
                <w:szCs w:val="24"/>
              </w:rPr>
              <w:br/>
              <w:t>100 м при скорости 34,368 Мбит/с</w:t>
            </w:r>
          </w:p>
        </w:tc>
      </w:tr>
      <w:tr w:rsidR="00C17150" w:rsidRPr="004904D1" w:rsidTr="0076545D">
        <w:trPr>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Температура окружающей среды:</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выносное оборудование</w:t>
            </w:r>
            <w:r w:rsidRPr="004904D1">
              <w:rPr>
                <w:rStyle w:val="Strong"/>
                <w:rFonts w:ascii="Times New Roman" w:hAnsi="Times New Roman" w:cs="Times New Roman"/>
                <w:sz w:val="24"/>
                <w:szCs w:val="24"/>
              </w:rPr>
              <w:br/>
              <w:t>внутреннее оборудование</w:t>
            </w:r>
          </w:p>
        </w:tc>
        <w:tc>
          <w:tcPr>
            <w:tcW w:w="2400" w:type="pct"/>
            <w:gridSpan w:val="3"/>
            <w:shd w:val="clear" w:color="auto" w:fill="F2EFE9"/>
            <w:vAlign w:val="bottom"/>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-50 +50 ° С</w:t>
            </w:r>
            <w:r w:rsidRPr="004904D1">
              <w:rPr>
                <w:rStyle w:val="Strong"/>
                <w:rFonts w:ascii="Times New Roman" w:hAnsi="Times New Roman" w:cs="Times New Roman"/>
                <w:sz w:val="24"/>
                <w:szCs w:val="24"/>
              </w:rPr>
              <w:br/>
              <w:t>+5 +40 ° С</w:t>
            </w:r>
          </w:p>
        </w:tc>
      </w:tr>
      <w:tr w:rsidR="00C17150" w:rsidRPr="004904D1" w:rsidTr="0076545D">
        <w:trPr>
          <w:trHeight w:val="2580"/>
          <w:jc w:val="center"/>
        </w:trPr>
        <w:tc>
          <w:tcPr>
            <w:tcW w:w="2600" w:type="pct"/>
            <w:shd w:val="clear" w:color="auto" w:fill="F2EFE9"/>
            <w:vAlign w:val="center"/>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Масса выносного оборудования:</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антенное устройство d зеркала 1,2 м антенное устройство d зеркала 0,6 м приемопередающее устройство</w:t>
            </w:r>
            <w:r w:rsidRPr="004904D1">
              <w:rPr>
                <w:rStyle w:val="Strong"/>
                <w:rFonts w:ascii="Times New Roman" w:hAnsi="Times New Roman" w:cs="Times New Roman"/>
                <w:sz w:val="24"/>
                <w:szCs w:val="24"/>
              </w:rPr>
              <w:br/>
              <w:t>внутреннее оборудование</w:t>
            </w:r>
          </w:p>
        </w:tc>
        <w:tc>
          <w:tcPr>
            <w:tcW w:w="2400" w:type="pct"/>
            <w:gridSpan w:val="3"/>
            <w:shd w:val="clear" w:color="auto" w:fill="F2EFE9"/>
            <w:vAlign w:val="bottom"/>
            <w:hideMark/>
          </w:tcPr>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16 кг</w:t>
            </w:r>
            <w:r w:rsidRPr="004904D1">
              <w:rPr>
                <w:rStyle w:val="Strong"/>
                <w:rFonts w:ascii="Times New Roman" w:hAnsi="Times New Roman" w:cs="Times New Roman"/>
                <w:sz w:val="24"/>
                <w:szCs w:val="24"/>
              </w:rPr>
              <w:br/>
              <w:t>8 кг</w:t>
            </w:r>
            <w:r w:rsidRPr="004904D1">
              <w:rPr>
                <w:rStyle w:val="Strong"/>
                <w:rFonts w:ascii="Times New Roman" w:hAnsi="Times New Roman" w:cs="Times New Roman"/>
                <w:sz w:val="24"/>
                <w:szCs w:val="24"/>
              </w:rPr>
              <w:br/>
              <w:t>6 кг</w:t>
            </w:r>
            <w:r w:rsidRPr="004904D1">
              <w:rPr>
                <w:rStyle w:val="Strong"/>
                <w:rFonts w:ascii="Times New Roman" w:hAnsi="Times New Roman" w:cs="Times New Roman"/>
                <w:sz w:val="24"/>
                <w:szCs w:val="24"/>
              </w:rPr>
              <w:br/>
              <w:t>до 5 кг</w:t>
            </w:r>
          </w:p>
          <w:p w:rsidR="00C17150" w:rsidRPr="004904D1" w:rsidRDefault="00C1715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tc>
      </w:tr>
    </w:tbl>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 разработка ; **) – для аппаратуры с доуплотнением основного цифрового канала.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Схема организации связи с использованием аппаратуры МИК-РЛ11, МИК-РЛ15, МИК-РЛ8.</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 xml:space="preserve">На рисунках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 xml:space="preserve">.22 и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 xml:space="preserve">.23 приведены структурные схемы блока БУКС и приемопередатчика аппаратуры МИК. На рисунке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.24 приведен вариант схемы организации связи.</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AB9A930" wp14:editId="3F9C8016">
            <wp:extent cx="2880000" cy="1779000"/>
            <wp:effectExtent l="0" t="0" r="0" b="0"/>
            <wp:docPr id="14" name="Picture 14" descr="Рисунок 8.22. Структурная схема блока БУК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Рисунок 8.22. Структурная схема блока БУКС"/>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0000" cy="177900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.22. Структурная схема блока БУКС</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1EAAA53" wp14:editId="5295264A">
            <wp:extent cx="2880000" cy="1334360"/>
            <wp:effectExtent l="0" t="0" r="0" b="0"/>
            <wp:docPr id="15" name="Picture 15" descr="Рисунок 8.23. Структурная схема приемопере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Рисунок 8.23. Структурная схема приемопередатчик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0000" cy="1334360"/>
                    </a:xfrm>
                    <a:prstGeom prst="rect">
                      <a:avLst/>
                    </a:prstGeom>
                    <a:noFill/>
                    <a:ln>
                      <a:noFill/>
                    </a:ln>
                  </pic:spPr>
                </pic:pic>
              </a:graphicData>
            </a:graphic>
          </wp:inline>
        </w:drawing>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.23. Структурная схема приемопередатчика</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 – частотный дуплексер, 5 – тракт ПЧ и демодулятор, 2 – приемный конвертор, 6 – цифровой интерфейс, 3 – усилитель мощности, 7 – микроконтроллер, 4 – синтезатор частот, 8 – вторичный источник питания.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EEAD3B4" wp14:editId="51C86CAB">
            <wp:extent cx="2880000" cy="2598000"/>
            <wp:effectExtent l="0" t="0" r="0" b="0"/>
            <wp:docPr id="16" name="Picture 16" descr="Рисунок 8.24. Пример схемы организации связ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Рисунок 8.24. Пример схемы организации связи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0000" cy="2598000"/>
                    </a:xfrm>
                    <a:prstGeom prst="rect">
                      <a:avLst/>
                    </a:prstGeom>
                    <a:noFill/>
                    <a:ln>
                      <a:noFill/>
                    </a:ln>
                  </pic:spPr>
                </pic:pic>
              </a:graphicData>
            </a:graphic>
          </wp:inline>
        </w:drawing>
      </w:r>
    </w:p>
    <w:p w:rsidR="00C17150"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.24. Пример схемы организации связи</w:t>
      </w:r>
    </w:p>
    <w:p w:rsidR="00C17150" w:rsidRPr="004904D1" w:rsidRDefault="00C17150" w:rsidP="00C17150">
      <w:pPr>
        <w:pStyle w:val="NoSpacing"/>
        <w:rPr>
          <w:rStyle w:val="Strong"/>
          <w:rFonts w:ascii="Times New Roman" w:hAnsi="Times New Roman" w:cs="Times New Roman"/>
          <w:b w:val="0"/>
          <w:sz w:val="24"/>
          <w:szCs w:val="24"/>
        </w:rPr>
      </w:pPr>
    </w:p>
    <w:p w:rsidR="00C17150" w:rsidRPr="00FC2681" w:rsidRDefault="00C17150" w:rsidP="00C1715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Вопросы для самоконтроля</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Что понимается под коэффициентом системы?</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Какие способы приема сигналов ОФМ Вы знаете?</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каким образом может формироваться опорное колебание в демодуляторах ЦРРЛ</w:t>
      </w:r>
    </w:p>
    <w:p w:rsidR="00C17150" w:rsidRPr="004904D1" w:rsidRDefault="00C17150" w:rsidP="00C1715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Перечислите основные параметры, по которым классифицируются современные ЦРРС</w:t>
      </w:r>
    </w:p>
    <w:p w:rsidR="00007597" w:rsidRDefault="00C17150">
      <w:bookmarkStart w:id="2" w:name="_GoBack"/>
      <w:bookmarkEnd w:id="2"/>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5A8"/>
    <w:rsid w:val="00315C2D"/>
    <w:rsid w:val="00A655A8"/>
    <w:rsid w:val="00C17150"/>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1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17150"/>
    <w:rPr>
      <w:b/>
      <w:bCs/>
    </w:rPr>
  </w:style>
  <w:style w:type="paragraph" w:styleId="NoSpacing">
    <w:name w:val="No Spacing"/>
    <w:uiPriority w:val="1"/>
    <w:qFormat/>
    <w:rsid w:val="00C17150"/>
    <w:pPr>
      <w:spacing w:after="0" w:line="240" w:lineRule="auto"/>
    </w:pPr>
  </w:style>
  <w:style w:type="paragraph" w:styleId="BalloonText">
    <w:name w:val="Balloon Text"/>
    <w:basedOn w:val="Normal"/>
    <w:link w:val="BalloonTextChar"/>
    <w:uiPriority w:val="99"/>
    <w:semiHidden/>
    <w:unhideWhenUsed/>
    <w:rsid w:val="00C17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1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1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17150"/>
    <w:rPr>
      <w:b/>
      <w:bCs/>
    </w:rPr>
  </w:style>
  <w:style w:type="paragraph" w:styleId="NoSpacing">
    <w:name w:val="No Spacing"/>
    <w:uiPriority w:val="1"/>
    <w:qFormat/>
    <w:rsid w:val="00C17150"/>
    <w:pPr>
      <w:spacing w:after="0" w:line="240" w:lineRule="auto"/>
    </w:pPr>
  </w:style>
  <w:style w:type="paragraph" w:styleId="BalloonText">
    <w:name w:val="Balloon Text"/>
    <w:basedOn w:val="Normal"/>
    <w:link w:val="BalloonTextChar"/>
    <w:uiPriority w:val="99"/>
    <w:semiHidden/>
    <w:unhideWhenUsed/>
    <w:rsid w:val="00C17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1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microsoft.com/office/2007/relationships/stylesWithEffects" Target="stylesWithEffects.xml"/><Relationship Id="rId16" Type="http://schemas.openxmlformats.org/officeDocument/2006/relationships/image" Target="media/image12.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4131</Words>
  <Characters>23553</Characters>
  <Application>Microsoft Office Word</Application>
  <DocSecurity>0</DocSecurity>
  <Lines>196</Lines>
  <Paragraphs>55</Paragraphs>
  <ScaleCrop>false</ScaleCrop>
  <Company/>
  <LinksUpToDate>false</LinksUpToDate>
  <CharactersWithSpaces>27629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2020-09-02T16:59:00Z</dcterms:created>
  <dcterms:modified xsi:type="dcterms:W3CDTF">2020-09-02T16:59:00Z</dcterms:modified>
</cp:coreProperties>
</file>